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2</w:t>
      </w:r>
      <w:bookmarkStart w:id="0" w:name="_GoBack"/>
      <w:bookmarkEnd w:id="0"/>
    </w:p>
    <w:p>
      <w:pPr>
        <w:rPr>
          <w:rFonts w:hint="eastAsia"/>
          <w:b/>
          <w:bCs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中国国际大学生创新大赛(2024)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“青年红色筑梦之旅”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赛道方案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38" w:firstLineChars="200"/>
        <w:jc w:val="both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val="en-US" w:eastAsia="zh-CN" w:bidi="ar-SA"/>
        </w:rPr>
        <w:t>一、参赛项目要求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一）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参加“青年红色筑梦之旅”赛道的项目应符合大赛参赛项目要求，同时在推进农业农村、城乡社区经济社会发展等方面有创新性、实效性和可持续性。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二）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以团队为单位报名参赛。允许跨校组建团队，每个 团队的参赛成员不少于3人，不多于15人(含团队负责 人),须为项目的实际核心成员。参赛团队所报参赛创业项 目，须为本团队策划或经营的项目，不得借用他人项目参赛。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三）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参赛申报人须为项目负责人，须为普通高等学校全 日制在校生(包括本专科生、研究生，不含在职教育),或 毕业5年以内的全日制学生(即2019年之后的毕业生，不含在职教育);国家开放大学学生(仅限学历教育)。企业法定代表人在大赛通知发布之日后进行变更的不予认可。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38" w:firstLineChars="200"/>
        <w:jc w:val="both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val="en-US" w:eastAsia="zh-CN" w:bidi="ar-SA"/>
        </w:rPr>
        <w:t>二、参赛组别和对象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参加“青年红色筑梦之旅”赛道的项目，须为参加“青年红色筑梦之旅”活动的项目。否则一经发现，取消参赛资格。根据项目性质和特点，分为公益组、创意组、创业组。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90" w:firstLineChars="200"/>
        <w:jc w:val="both"/>
        <w:textAlignment w:val="baseline"/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一）</w:t>
      </w: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公益组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1.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参赛项目不以营利为目标，积极弘扬公益精神，在公益服务领域具有较好的创意、产品或服务模式的创业计划和实践。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2.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参赛申报主体为独立的公益项目或社会组织，注册或未注册成立公益机构(或社会组织)的项目均可参赛。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90" w:firstLineChars="200"/>
        <w:jc w:val="both"/>
        <w:textAlignment w:val="baseline"/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二）</w:t>
      </w: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创意组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1.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参赛项目基于专业和学科背景或相关资源，解决 农业农村和城乡社区发展面临的主要问题，助力乡村振兴和社区治理，推动经济价值和社会价值的共同发展。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2.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参赛项目在大赛通知下发之日前尚未完成工商等各类登记注册。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90" w:firstLineChars="200"/>
        <w:jc w:val="both"/>
        <w:textAlignment w:val="baseline"/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三）</w:t>
      </w:r>
      <w:r>
        <w:rPr>
          <w:rFonts w:hint="eastAsia"/>
          <w:b/>
          <w:bCs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创业组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1.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参赛项目以商业手段解决农业农村和城乡社区发 展面临的主要问题、助力乡村振兴和社区治理，实现经济价值和社会价值的共同发展，推动共同富裕。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2.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参赛项目在大赛通知下发之日前已完成工商等各 类登记注册，项目负责人须为法定代表人。项目的股权结 构中，企业法定代表人的股权不得少于10%,参赛成员股权合计不得少于1/3。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38" w:firstLineChars="200"/>
        <w:jc w:val="both"/>
        <w:textAlignment w:val="baseline"/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snapToGrid w:val="0"/>
          <w:color w:val="000000"/>
          <w:spacing w:val="4"/>
          <w:kern w:val="0"/>
          <w:sz w:val="31"/>
          <w:szCs w:val="31"/>
          <w:lang w:val="en-US" w:eastAsia="zh-CN" w:bidi="ar-SA"/>
        </w:rPr>
        <w:t>三、奖项设置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一）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本赛道设置金奖70个、银奖140个、铜奖440个。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240" w:lineRule="auto"/>
        <w:ind w:firstLine="688" w:firstLineChars="200"/>
        <w:jc w:val="both"/>
        <w:textAlignment w:val="baseline"/>
        <w:rPr>
          <w:color w:val="auto"/>
        </w:rPr>
      </w:pP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（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val="en-US" w:eastAsia="zh-CN"/>
        </w:rPr>
        <w:t>二）</w:t>
      </w:r>
      <w:r>
        <w:rPr>
          <w:rFonts w:hint="eastAsia"/>
          <w:snapToGrid w:val="0"/>
          <w:color w:val="auto"/>
          <w:spacing w:val="17"/>
          <w:kern w:val="0"/>
          <w:position w:val="17"/>
          <w:sz w:val="31"/>
          <w:szCs w:val="31"/>
          <w:lang w:eastAsia="zh-CN"/>
        </w:rPr>
        <w:t>获得金奖项目的指导教师为“优秀创新创业导师”。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ZjM1Y2ZkMTNmNzg2MmQ1NzYxNzJjOTA0MTU5ZWQifQ=="/>
  </w:docVars>
  <w:rsids>
    <w:rsidRoot w:val="572538A9"/>
    <w:rsid w:val="41E81278"/>
    <w:rsid w:val="44E0760E"/>
    <w:rsid w:val="572538A9"/>
    <w:rsid w:val="6FB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